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D6106E" w:rsidP="00D6106E">
      <w:pPr>
        <w:keepNext/>
        <w:jc w:val="center"/>
        <w:rPr>
          <w:rFonts w:ascii="Times New Roman" w:hAnsi="Times New Roman" w:cs="Times New Roman"/>
          <w:b/>
          <w:sz w:val="36"/>
        </w:rPr>
      </w:pPr>
      <w:r>
        <w:rPr>
          <w:rFonts w:ascii="Times New Roman" w:hAnsi="Times New Roman" w:cs="Times New Roman"/>
          <w:b/>
          <w:sz w:val="36"/>
        </w:rPr>
        <w:t>Children and Families</w:t>
      </w:r>
    </w:p>
    <w:p w:rsidR="00D6106E" w:rsidRDefault="00D6106E" w:rsidP="00D6106E">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D6106E" w:rsidRDefault="00D6106E" w:rsidP="00D6106E">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9C.1: Raise NC Pre-K Base Reimbursement Rates. (SL 2022-74)</w:t>
      </w:r>
    </w:p>
    <w:p w:rsidR="00D6106E" w:rsidRPr="00D6106E" w:rsidRDefault="00D6106E" w:rsidP="00D6106E">
      <w:pPr>
        <w:pStyle w:val="NormalWeb"/>
        <w:jc w:val="both"/>
        <w:divId w:val="1924681388"/>
        <w:rPr>
          <w:sz w:val="22"/>
        </w:rPr>
      </w:pPr>
      <w:r w:rsidRPr="00D6106E">
        <w:rPr>
          <w:sz w:val="22"/>
        </w:rPr>
        <w:t>Section 9C.1 of S.L. 2022-74 amends Section 9C.3 of S.L. 2021-180 by raising the base reimbursement rates for the 2022-2023 fiscal year for child care centers participating in the North Carolina Prekindergarten (NC Pre-K) program from 2% to 7% over the 2021-2022 fiscal rates. A portion of these funds are allocated to raise the base reimbursement rates for public schools and Head Start centers participating in the NC Pre-K program by 5% over the 2021-22 rates for the 2022-2023 fiscal year.</w:t>
      </w:r>
    </w:p>
    <w:p w:rsidR="00D6106E" w:rsidRPr="00D6106E" w:rsidRDefault="00D6106E" w:rsidP="00D6106E">
      <w:pPr>
        <w:pStyle w:val="NormalWeb"/>
        <w:jc w:val="both"/>
        <w:divId w:val="1924681388"/>
        <w:rPr>
          <w:sz w:val="22"/>
        </w:rPr>
      </w:pPr>
      <w:r w:rsidRPr="00D6106E">
        <w:rPr>
          <w:sz w:val="22"/>
        </w:rPr>
        <w:t xml:space="preserve">This section became effective July 1,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9C.2: Raise Cap on Administrative Costs/Smart Start . (SL 2022-74)</w:t>
      </w:r>
    </w:p>
    <w:p w:rsidR="00D6106E" w:rsidRPr="00D6106E" w:rsidRDefault="00D6106E" w:rsidP="00D6106E">
      <w:pPr>
        <w:pStyle w:val="NormalWeb"/>
        <w:jc w:val="both"/>
        <w:divId w:val="1961182203"/>
        <w:rPr>
          <w:sz w:val="22"/>
        </w:rPr>
      </w:pPr>
      <w:r w:rsidRPr="00D6106E">
        <w:rPr>
          <w:sz w:val="22"/>
        </w:rPr>
        <w:t>Section 9C.2 of S.L. 2022-74 amends Section 9C.6(b) of S.L. 2021-180 by raising the cap on administrative costs for local partnerships from not more than 8% to no more than 9% of the total statewide allocation to all local partnerships.</w:t>
      </w:r>
    </w:p>
    <w:p w:rsidR="00D6106E" w:rsidRPr="00D6106E" w:rsidRDefault="00D6106E" w:rsidP="00D6106E">
      <w:pPr>
        <w:pStyle w:val="NormalWeb"/>
        <w:jc w:val="both"/>
        <w:divId w:val="1961182203"/>
        <w:rPr>
          <w:sz w:val="22"/>
        </w:rPr>
      </w:pPr>
      <w:r w:rsidRPr="00D6106E">
        <w:rPr>
          <w:sz w:val="22"/>
        </w:rPr>
        <w:t xml:space="preserve">This section became effective July 1,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9G.2: Change in Composition of Maternal Mortality Review Committee. (SL 2022-74)</w:t>
      </w:r>
    </w:p>
    <w:p w:rsidR="00D6106E" w:rsidRPr="00D6106E" w:rsidRDefault="00D6106E" w:rsidP="00D6106E">
      <w:pPr>
        <w:pStyle w:val="NormalWeb"/>
        <w:jc w:val="both"/>
        <w:divId w:val="1166942330"/>
        <w:rPr>
          <w:sz w:val="22"/>
        </w:rPr>
      </w:pPr>
      <w:r w:rsidRPr="00D6106E">
        <w:rPr>
          <w:sz w:val="22"/>
        </w:rPr>
        <w:t>Section 9G.2 of S.L. 2022-74 amends the statute (G.S. 130A-33.60(b)) by increasing the membership of the Maternal Mortality Review Committee from 9 members to 20 members and by adding a requirement that the membership represent the community.</w:t>
      </w:r>
    </w:p>
    <w:p w:rsidR="00D6106E" w:rsidRPr="00D6106E" w:rsidRDefault="00D6106E" w:rsidP="00D6106E">
      <w:pPr>
        <w:pStyle w:val="NormalWeb"/>
        <w:jc w:val="both"/>
        <w:divId w:val="1166942330"/>
        <w:rPr>
          <w:sz w:val="22"/>
        </w:rPr>
      </w:pPr>
      <w:r w:rsidRPr="00D6106E">
        <w:rPr>
          <w:sz w:val="22"/>
        </w:rPr>
        <w:t xml:space="preserve">This section became effective July 1,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9G.3: Use of Juul Settlement Funds. (SL 2022-74)</w:t>
      </w:r>
    </w:p>
    <w:p w:rsidR="00D6106E" w:rsidRPr="00D6106E" w:rsidRDefault="00D6106E" w:rsidP="00D6106E">
      <w:pPr>
        <w:pStyle w:val="NormalWeb"/>
        <w:jc w:val="both"/>
        <w:divId w:val="1573199811"/>
        <w:rPr>
          <w:sz w:val="22"/>
        </w:rPr>
      </w:pPr>
      <w:r w:rsidRPr="00D6106E">
        <w:rPr>
          <w:sz w:val="22"/>
        </w:rPr>
        <w:t>Section 9G.3 of S.L. 2022-74 amends Section 9G.10 of S.L. 2021-180 to direct funds allocated to the Youth Electronic Nicotine Dependence Abatement Fund remain available for expenditures as specified until expended.</w:t>
      </w:r>
    </w:p>
    <w:p w:rsidR="00D6106E" w:rsidRPr="00D6106E" w:rsidRDefault="00D6106E" w:rsidP="00D6106E">
      <w:pPr>
        <w:pStyle w:val="NormalWeb"/>
        <w:jc w:val="both"/>
        <w:divId w:val="1573199811"/>
        <w:rPr>
          <w:sz w:val="22"/>
        </w:rPr>
      </w:pPr>
      <w:r w:rsidRPr="00D6106E">
        <w:rPr>
          <w:sz w:val="22"/>
        </w:rPr>
        <w:t xml:space="preserve">This section became effective June 30,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9I.2: Increase Foster Care Administrative Rate with Existing Funds. (SL 2022-74)</w:t>
      </w:r>
    </w:p>
    <w:p w:rsidR="00D6106E" w:rsidRPr="00D6106E" w:rsidRDefault="00D6106E" w:rsidP="00D6106E">
      <w:pPr>
        <w:pStyle w:val="NormalWeb"/>
        <w:jc w:val="both"/>
        <w:divId w:val="2118212733"/>
        <w:rPr>
          <w:sz w:val="22"/>
        </w:rPr>
      </w:pPr>
      <w:r w:rsidRPr="00D6106E">
        <w:rPr>
          <w:sz w:val="22"/>
        </w:rPr>
        <w:t>Section 9I.2 of S.L. 2022-74 directs the Division of Social Services, Department of Health and Human Services, to increase the administrative rate for foster care using available funds in the foster care budget.</w:t>
      </w:r>
    </w:p>
    <w:p w:rsidR="00D6106E" w:rsidRPr="00D6106E" w:rsidRDefault="00D6106E" w:rsidP="00D6106E">
      <w:pPr>
        <w:pStyle w:val="NormalWeb"/>
        <w:jc w:val="both"/>
        <w:divId w:val="2118212733"/>
        <w:rPr>
          <w:sz w:val="22"/>
        </w:rPr>
      </w:pPr>
      <w:r w:rsidRPr="00D6106E">
        <w:rPr>
          <w:sz w:val="22"/>
        </w:rPr>
        <w:t xml:space="preserve">This section became effective July 1,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9L.2(a): Allow Portion of Child Care and Development Block Grant ARPA Funds for Temporary Increase of Child Care Subsidy Rates to 2018 Market Study Rates . (SL 2022-74)</w:t>
      </w:r>
    </w:p>
    <w:p w:rsidR="00D6106E" w:rsidRPr="00D6106E" w:rsidRDefault="00D6106E" w:rsidP="00D6106E">
      <w:pPr>
        <w:pStyle w:val="NormalWeb"/>
        <w:jc w:val="both"/>
        <w:divId w:val="438648606"/>
        <w:rPr>
          <w:sz w:val="22"/>
        </w:rPr>
      </w:pPr>
      <w:r w:rsidRPr="00D6106E">
        <w:rPr>
          <w:sz w:val="22"/>
        </w:rPr>
        <w:t>Section 9L.2(a) of S.L. 2022-74 amends the Child Care and Development Block Grant appropriation in the 2021 Appropriations Act (Sec. 9L.2(b)(1)a. of S.L. 2021-180) to allow the Division of Child Development and Early Education, Department of Health and Human Services, to use a portion of the funds to temporarily increase the child care subsidy reimbursement rates to those recommended in the 2018 Child Care Market Rate Study until the funds expire on September 30, 2024.</w:t>
      </w:r>
    </w:p>
    <w:p w:rsidR="00D6106E" w:rsidRPr="00D6106E" w:rsidRDefault="00D6106E" w:rsidP="00D6106E">
      <w:pPr>
        <w:pStyle w:val="NormalWeb"/>
        <w:jc w:val="both"/>
        <w:divId w:val="438648606"/>
        <w:rPr>
          <w:sz w:val="22"/>
        </w:rPr>
      </w:pPr>
      <w:r w:rsidRPr="00D6106E">
        <w:rPr>
          <w:sz w:val="22"/>
        </w:rPr>
        <w:t xml:space="preserve">This section became effective July 1,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H615 - Jordan's Law. (SL 2022-48)</w:t>
      </w:r>
    </w:p>
    <w:p w:rsidR="00D6106E" w:rsidRPr="00D6106E" w:rsidRDefault="00D6106E" w:rsidP="00D6106E">
      <w:pPr>
        <w:numPr>
          <w:ilvl w:val="0"/>
          <w:numId w:val="1"/>
        </w:numPr>
        <w:spacing w:before="100" w:beforeAutospacing="1" w:after="100" w:afterAutospacing="1" w:line="240" w:lineRule="auto"/>
        <w:jc w:val="both"/>
        <w:divId w:val="564145620"/>
        <w:rPr>
          <w:rFonts w:ascii="Times New Roman" w:eastAsia="Times New Roman" w:hAnsi="Times New Roman" w:cs="Times New Roman"/>
          <w:szCs w:val="24"/>
        </w:rPr>
      </w:pPr>
      <w:r w:rsidRPr="00D6106E">
        <w:rPr>
          <w:rFonts w:ascii="Times New Roman" w:eastAsia="Times New Roman" w:hAnsi="Times New Roman" w:cs="Times New Roman"/>
        </w:rPr>
        <w:t xml:space="preserve">Section 1 of the act amends G.S. 50B-3(b) to allow a court to temporarily extend a domestic violence order of protection when the court date to consider the extension is set after the expiration date on the order. </w:t>
      </w:r>
    </w:p>
    <w:p w:rsidR="00D6106E" w:rsidRPr="00D6106E" w:rsidRDefault="00D6106E" w:rsidP="00D6106E">
      <w:pPr>
        <w:numPr>
          <w:ilvl w:val="0"/>
          <w:numId w:val="1"/>
        </w:numPr>
        <w:spacing w:before="100" w:beforeAutospacing="1" w:after="100" w:afterAutospacing="1" w:line="240" w:lineRule="auto"/>
        <w:jc w:val="both"/>
        <w:divId w:val="564145620"/>
        <w:rPr>
          <w:rFonts w:ascii="Times New Roman" w:eastAsia="Times New Roman" w:hAnsi="Times New Roman" w:cs="Times New Roman"/>
        </w:rPr>
      </w:pPr>
      <w:r w:rsidRPr="00D6106E">
        <w:rPr>
          <w:rFonts w:ascii="Times New Roman" w:eastAsia="Times New Roman" w:hAnsi="Times New Roman" w:cs="Times New Roman"/>
        </w:rPr>
        <w:t xml:space="preserve">Section 2 of the act amends G.S. 50-13.1(b) to allow optional participation in custody mediation, rather than mandatory participation, when motions for contempt or motions to show cause are filed. </w:t>
      </w:r>
    </w:p>
    <w:p w:rsidR="00D6106E" w:rsidRPr="00D6106E" w:rsidRDefault="00D6106E" w:rsidP="00D6106E">
      <w:pPr>
        <w:pStyle w:val="NormalWeb"/>
        <w:jc w:val="both"/>
        <w:divId w:val="564145620"/>
        <w:rPr>
          <w:sz w:val="22"/>
        </w:rPr>
      </w:pPr>
      <w:r w:rsidRPr="00D6106E">
        <w:rPr>
          <w:sz w:val="22"/>
        </w:rPr>
        <w:t xml:space="preserve">Section 1 of this act becomes effective December 1, 2022, and applies to pending motions to renew filed before, on, or after that date. Section 2 of this act becomes effective December 1, 2022, and applies to motions filed on or after that date.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H823 - Child Advocacy Centers/Share Information. (Ratified)</w:t>
      </w:r>
    </w:p>
    <w:p w:rsidR="00D6106E" w:rsidRPr="00D6106E" w:rsidRDefault="00D6106E" w:rsidP="00D6106E">
      <w:pPr>
        <w:pStyle w:val="NormalWeb"/>
        <w:jc w:val="both"/>
        <w:divId w:val="332418731"/>
        <w:rPr>
          <w:sz w:val="22"/>
        </w:rPr>
      </w:pPr>
      <w:r w:rsidRPr="00D6106E">
        <w:rPr>
          <w:sz w:val="22"/>
        </w:rPr>
        <w:t>HB 823 would have established criteria for Children's Advocacy Centers to receive State funds, established certain requirements for the sharing of information and access to records held by Children's Advocacy Centers and multidisciplinary teams, and established immunity from liability for certain circumstances for the multidisciplinary team, individuals and volunteers working for a Children's Advocacy Center.</w:t>
      </w:r>
    </w:p>
    <w:p w:rsidR="00D6106E" w:rsidRPr="00D6106E" w:rsidRDefault="00D6106E" w:rsidP="00D6106E">
      <w:pPr>
        <w:pStyle w:val="NormalWeb"/>
        <w:jc w:val="both"/>
        <w:divId w:val="332418731"/>
        <w:rPr>
          <w:sz w:val="22"/>
        </w:rPr>
      </w:pPr>
      <w:r w:rsidRPr="00D6106E">
        <w:rPr>
          <w:sz w:val="22"/>
        </w:rPr>
        <w:t xml:space="preserve">HB 823 was ratified by the General Assembly on July 1, 2022, and vetoed by the Governor on July 11,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H1018 - GSC Bar Association Proposals/Landmark Designation. (SL 2022-64)</w:t>
      </w:r>
    </w:p>
    <w:p w:rsidR="00D6106E" w:rsidRPr="00D6106E" w:rsidRDefault="00D6106E" w:rsidP="00D6106E">
      <w:pPr>
        <w:pStyle w:val="NormalWeb"/>
        <w:jc w:val="both"/>
        <w:divId w:val="924651851"/>
        <w:rPr>
          <w:sz w:val="22"/>
        </w:rPr>
      </w:pPr>
      <w:r w:rsidRPr="00D6106E">
        <w:rPr>
          <w:sz w:val="22"/>
        </w:rPr>
        <w:t>S.L. 2022-64 makes various changes affecting real property; strengthens the personal liability protection for limited liability partnerships; aligns the authority to transfer venue for judicial review of contested cases with other cases; makes conforming changes to account for special fiduciaries in guardianship proceedings; and clarifies and improves the landmark designation procedure, as recommended by the General Statutes Commission.</w:t>
      </w:r>
    </w:p>
    <w:p w:rsidR="00D6106E" w:rsidRPr="00D6106E" w:rsidRDefault="00D6106E" w:rsidP="00D6106E">
      <w:pPr>
        <w:pStyle w:val="NormalWeb"/>
        <w:jc w:val="both"/>
        <w:divId w:val="924651851"/>
        <w:rPr>
          <w:sz w:val="22"/>
        </w:rPr>
      </w:pPr>
      <w:r w:rsidRPr="00D6106E">
        <w:rPr>
          <w:sz w:val="22"/>
        </w:rPr>
        <w:t xml:space="preserve">Except as otherwise provided, the act became effective July 8, 2022. </w:t>
      </w:r>
    </w:p>
    <w:p w:rsidR="00D6106E" w:rsidRPr="00D6106E" w:rsidRDefault="00D6106E" w:rsidP="00D6106E">
      <w:pPr>
        <w:keepNext/>
        <w:jc w:val="both"/>
        <w:rPr>
          <w:rFonts w:ascii="Times New Roman" w:hAnsi="Times New Roman" w:cs="Times New Roman"/>
        </w:rPr>
      </w:pPr>
    </w:p>
    <w:p w:rsidR="00D6106E" w:rsidRDefault="00D6106E" w:rsidP="00D6106E">
      <w:pPr>
        <w:keepNext/>
        <w:rPr>
          <w:rFonts w:ascii="Times New Roman" w:hAnsi="Times New Roman" w:cs="Times New Roman"/>
          <w:b/>
          <w:sz w:val="24"/>
        </w:rPr>
      </w:pPr>
      <w:r>
        <w:rPr>
          <w:rFonts w:ascii="Times New Roman" w:hAnsi="Times New Roman" w:cs="Times New Roman"/>
          <w:b/>
          <w:sz w:val="24"/>
        </w:rPr>
        <w:t>S278 - Property/Family Law-Reimburse Property Expenditures. (SL 2022-12)</w:t>
      </w:r>
    </w:p>
    <w:p w:rsidR="00D6106E" w:rsidRPr="00D6106E" w:rsidRDefault="00D6106E" w:rsidP="00D6106E">
      <w:pPr>
        <w:pStyle w:val="NormalWeb"/>
        <w:jc w:val="both"/>
        <w:divId w:val="260646036"/>
        <w:rPr>
          <w:sz w:val="22"/>
        </w:rPr>
      </w:pPr>
      <w:r w:rsidRPr="00D6106E">
        <w:rPr>
          <w:sz w:val="22"/>
        </w:rPr>
        <w:t>S.L. 2022-12 does the following:</w:t>
      </w:r>
    </w:p>
    <w:p w:rsidR="00D6106E" w:rsidRPr="00D6106E" w:rsidRDefault="00D6106E" w:rsidP="00D6106E">
      <w:pPr>
        <w:numPr>
          <w:ilvl w:val="0"/>
          <w:numId w:val="2"/>
        </w:numPr>
        <w:spacing w:before="100" w:beforeAutospacing="1" w:after="100" w:afterAutospacing="1" w:line="240" w:lineRule="auto"/>
        <w:jc w:val="both"/>
        <w:divId w:val="260646036"/>
        <w:rPr>
          <w:rFonts w:ascii="Times New Roman" w:eastAsia="Times New Roman" w:hAnsi="Times New Roman" w:cs="Times New Roman"/>
        </w:rPr>
      </w:pPr>
      <w:r w:rsidRPr="00D6106E">
        <w:rPr>
          <w:rFonts w:ascii="Times New Roman" w:eastAsia="Times New Roman" w:hAnsi="Times New Roman" w:cs="Times New Roman"/>
        </w:rPr>
        <w:t xml:space="preserve">Clarifies the right of one spouse to reimbursement from the other spouse for expenditures made with respect to property during the time that the property is held as tenants by the entirety. (Section 1) </w:t>
      </w:r>
    </w:p>
    <w:p w:rsidR="00D6106E" w:rsidRPr="00D6106E" w:rsidRDefault="00D6106E" w:rsidP="00D6106E">
      <w:pPr>
        <w:numPr>
          <w:ilvl w:val="0"/>
          <w:numId w:val="2"/>
        </w:numPr>
        <w:spacing w:before="100" w:beforeAutospacing="1" w:after="100" w:afterAutospacing="1" w:line="240" w:lineRule="auto"/>
        <w:jc w:val="both"/>
        <w:divId w:val="260646036"/>
        <w:rPr>
          <w:rFonts w:ascii="Times New Roman" w:eastAsia="Times New Roman" w:hAnsi="Times New Roman" w:cs="Times New Roman"/>
        </w:rPr>
      </w:pPr>
      <w:r w:rsidRPr="00D6106E">
        <w:rPr>
          <w:rFonts w:ascii="Times New Roman" w:eastAsia="Times New Roman" w:hAnsi="Times New Roman" w:cs="Times New Roman"/>
        </w:rPr>
        <w:t xml:space="preserve">Requires certain information to be included in a condominium declaration before it is recorded. (Section 2) </w:t>
      </w:r>
    </w:p>
    <w:p w:rsidR="00D6106E" w:rsidRPr="00D6106E" w:rsidRDefault="00D6106E" w:rsidP="00D6106E">
      <w:pPr>
        <w:numPr>
          <w:ilvl w:val="0"/>
          <w:numId w:val="2"/>
        </w:numPr>
        <w:spacing w:before="100" w:beforeAutospacing="1" w:after="100" w:afterAutospacing="1" w:line="240" w:lineRule="auto"/>
        <w:jc w:val="both"/>
        <w:divId w:val="260646036"/>
        <w:rPr>
          <w:rFonts w:ascii="Times New Roman" w:eastAsia="Times New Roman" w:hAnsi="Times New Roman" w:cs="Times New Roman"/>
        </w:rPr>
      </w:pPr>
      <w:r w:rsidRPr="00D6106E">
        <w:rPr>
          <w:rFonts w:ascii="Times New Roman" w:eastAsia="Times New Roman" w:hAnsi="Times New Roman" w:cs="Times New Roman"/>
        </w:rPr>
        <w:t xml:space="preserve">Clarifies the applicability of certain provisions of the Condominium Act to condominiums created on or before October 1, 1986. (Section 3) </w:t>
      </w:r>
    </w:p>
    <w:p w:rsidR="00D6106E" w:rsidRPr="00D6106E" w:rsidRDefault="00D6106E" w:rsidP="00D6106E">
      <w:pPr>
        <w:numPr>
          <w:ilvl w:val="0"/>
          <w:numId w:val="2"/>
        </w:numPr>
        <w:spacing w:before="100" w:beforeAutospacing="1" w:after="100" w:afterAutospacing="1" w:line="240" w:lineRule="auto"/>
        <w:jc w:val="both"/>
        <w:divId w:val="260646036"/>
        <w:rPr>
          <w:rFonts w:ascii="Times New Roman" w:eastAsia="Times New Roman" w:hAnsi="Times New Roman" w:cs="Times New Roman"/>
        </w:rPr>
      </w:pPr>
      <w:r w:rsidRPr="00D6106E">
        <w:rPr>
          <w:rFonts w:ascii="Times New Roman" w:eastAsia="Times New Roman" w:hAnsi="Times New Roman" w:cs="Times New Roman"/>
        </w:rPr>
        <w:t xml:space="preserve">Exempts provisions contained in a declaration of covenants applicable to condominiums, cooperatives, and most planned communities from being extinguished by operation of the Marketable Title Act. (Section 4) </w:t>
      </w:r>
    </w:p>
    <w:p w:rsidR="00D6106E" w:rsidRPr="00D6106E" w:rsidRDefault="00D6106E" w:rsidP="00D6106E">
      <w:pPr>
        <w:pStyle w:val="NormalWeb"/>
        <w:jc w:val="both"/>
        <w:divId w:val="260646036"/>
        <w:rPr>
          <w:sz w:val="22"/>
        </w:rPr>
      </w:pPr>
      <w:r w:rsidRPr="00D6106E">
        <w:rPr>
          <w:sz w:val="22"/>
        </w:rPr>
        <w:t xml:space="preserve">The Marketable Title Act changes became effective July 1, 2022. The remainder of the act became effective June 29, 2022, and the content requirement for condominium declarations applies to declarations recorded on or after that date. </w:t>
      </w:r>
      <w:bookmarkStart w:id="0" w:name="_GoBack"/>
      <w:bookmarkEnd w:id="0"/>
    </w:p>
    <w:sectPr w:rsidR="00D6106E" w:rsidRPr="00D6106E" w:rsidSect="00D6106E">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06E" w:rsidRDefault="00D6106E" w:rsidP="00D6106E">
      <w:pPr>
        <w:spacing w:after="0" w:line="240" w:lineRule="auto"/>
      </w:pPr>
      <w:r>
        <w:separator/>
      </w:r>
    </w:p>
  </w:endnote>
  <w:endnote w:type="continuationSeparator" w:id="0">
    <w:p w:rsidR="00D6106E" w:rsidRDefault="00D6106E" w:rsidP="00D6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6E" w:rsidRDefault="00D61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6E" w:rsidRPr="00D6106E" w:rsidRDefault="00D6106E" w:rsidP="00D6106E">
    <w:pPr>
      <w:pStyle w:val="Footer"/>
      <w:tabs>
        <w:tab w:val="center" w:pos="4680"/>
        <w:tab w:val="right" w:pos="9360"/>
      </w:tabs>
      <w:rPr>
        <w:rFonts w:ascii="Times New Roman" w:hAnsi="Times New Roman" w:cs="Times New Roman"/>
      </w:rPr>
    </w:pPr>
    <w:r>
      <w:rPr>
        <w:rFonts w:ascii="Times New Roman" w:hAnsi="Times New Roman" w:cs="Times New Roman"/>
      </w:rPr>
      <w:t>[2022] Children and Families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1/24/2023 1:21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6E" w:rsidRDefault="00D61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06E" w:rsidRDefault="00D6106E" w:rsidP="00D6106E">
      <w:pPr>
        <w:spacing w:after="0" w:line="240" w:lineRule="auto"/>
      </w:pPr>
      <w:r>
        <w:separator/>
      </w:r>
    </w:p>
  </w:footnote>
  <w:footnote w:type="continuationSeparator" w:id="0">
    <w:p w:rsidR="00D6106E" w:rsidRDefault="00D6106E" w:rsidP="00D6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6E" w:rsidRDefault="00D61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6E" w:rsidRDefault="00D61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6E" w:rsidRDefault="00D61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D1CA7"/>
    <w:multiLevelType w:val="multilevel"/>
    <w:tmpl w:val="EB9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B7BE2"/>
    <w:multiLevelType w:val="multilevel"/>
    <w:tmpl w:val="B504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6E"/>
    <w:rsid w:val="00AD2356"/>
    <w:rsid w:val="00D6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85EA"/>
  <w15:chartTrackingRefBased/>
  <w15:docId w15:val="{889D9073-F6EF-41F7-9783-79AE87EB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06E"/>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D61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06E"/>
  </w:style>
  <w:style w:type="paragraph" w:styleId="Footer">
    <w:name w:val="footer"/>
    <w:basedOn w:val="Normal"/>
    <w:link w:val="FooterChar"/>
    <w:uiPriority w:val="99"/>
    <w:unhideWhenUsed/>
    <w:rsid w:val="00D61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3823">
      <w:bodyDiv w:val="1"/>
      <w:marLeft w:val="0"/>
      <w:marRight w:val="0"/>
      <w:marTop w:val="0"/>
      <w:marBottom w:val="0"/>
      <w:divBdr>
        <w:top w:val="none" w:sz="0" w:space="0" w:color="auto"/>
        <w:left w:val="none" w:sz="0" w:space="0" w:color="auto"/>
        <w:bottom w:val="none" w:sz="0" w:space="0" w:color="auto"/>
        <w:right w:val="none" w:sz="0" w:space="0" w:color="auto"/>
      </w:divBdr>
      <w:divsChild>
        <w:div w:id="1961182203">
          <w:marLeft w:val="0"/>
          <w:marRight w:val="0"/>
          <w:marTop w:val="0"/>
          <w:marBottom w:val="0"/>
          <w:divBdr>
            <w:top w:val="none" w:sz="0" w:space="0" w:color="auto"/>
            <w:left w:val="none" w:sz="0" w:space="0" w:color="auto"/>
            <w:bottom w:val="none" w:sz="0" w:space="0" w:color="auto"/>
            <w:right w:val="none" w:sz="0" w:space="0" w:color="auto"/>
          </w:divBdr>
        </w:div>
      </w:divsChild>
    </w:div>
    <w:div w:id="170919356">
      <w:bodyDiv w:val="1"/>
      <w:marLeft w:val="0"/>
      <w:marRight w:val="0"/>
      <w:marTop w:val="0"/>
      <w:marBottom w:val="0"/>
      <w:divBdr>
        <w:top w:val="none" w:sz="0" w:space="0" w:color="auto"/>
        <w:left w:val="none" w:sz="0" w:space="0" w:color="auto"/>
        <w:bottom w:val="none" w:sz="0" w:space="0" w:color="auto"/>
        <w:right w:val="none" w:sz="0" w:space="0" w:color="auto"/>
      </w:divBdr>
      <w:divsChild>
        <w:div w:id="1166942330">
          <w:marLeft w:val="0"/>
          <w:marRight w:val="0"/>
          <w:marTop w:val="0"/>
          <w:marBottom w:val="0"/>
          <w:divBdr>
            <w:top w:val="none" w:sz="0" w:space="0" w:color="auto"/>
            <w:left w:val="none" w:sz="0" w:space="0" w:color="auto"/>
            <w:bottom w:val="none" w:sz="0" w:space="0" w:color="auto"/>
            <w:right w:val="none" w:sz="0" w:space="0" w:color="auto"/>
          </w:divBdr>
        </w:div>
      </w:divsChild>
    </w:div>
    <w:div w:id="179665606">
      <w:bodyDiv w:val="1"/>
      <w:marLeft w:val="0"/>
      <w:marRight w:val="0"/>
      <w:marTop w:val="0"/>
      <w:marBottom w:val="0"/>
      <w:divBdr>
        <w:top w:val="none" w:sz="0" w:space="0" w:color="auto"/>
        <w:left w:val="none" w:sz="0" w:space="0" w:color="auto"/>
        <w:bottom w:val="none" w:sz="0" w:space="0" w:color="auto"/>
        <w:right w:val="none" w:sz="0" w:space="0" w:color="auto"/>
      </w:divBdr>
      <w:divsChild>
        <w:div w:id="332418731">
          <w:marLeft w:val="0"/>
          <w:marRight w:val="0"/>
          <w:marTop w:val="0"/>
          <w:marBottom w:val="0"/>
          <w:divBdr>
            <w:top w:val="none" w:sz="0" w:space="0" w:color="auto"/>
            <w:left w:val="none" w:sz="0" w:space="0" w:color="auto"/>
            <w:bottom w:val="none" w:sz="0" w:space="0" w:color="auto"/>
            <w:right w:val="none" w:sz="0" w:space="0" w:color="auto"/>
          </w:divBdr>
        </w:div>
      </w:divsChild>
    </w:div>
    <w:div w:id="909461665">
      <w:bodyDiv w:val="1"/>
      <w:marLeft w:val="0"/>
      <w:marRight w:val="0"/>
      <w:marTop w:val="0"/>
      <w:marBottom w:val="0"/>
      <w:divBdr>
        <w:top w:val="none" w:sz="0" w:space="0" w:color="auto"/>
        <w:left w:val="none" w:sz="0" w:space="0" w:color="auto"/>
        <w:bottom w:val="none" w:sz="0" w:space="0" w:color="auto"/>
        <w:right w:val="none" w:sz="0" w:space="0" w:color="auto"/>
      </w:divBdr>
      <w:divsChild>
        <w:div w:id="1924681388">
          <w:marLeft w:val="0"/>
          <w:marRight w:val="0"/>
          <w:marTop w:val="0"/>
          <w:marBottom w:val="0"/>
          <w:divBdr>
            <w:top w:val="none" w:sz="0" w:space="0" w:color="auto"/>
            <w:left w:val="none" w:sz="0" w:space="0" w:color="auto"/>
            <w:bottom w:val="none" w:sz="0" w:space="0" w:color="auto"/>
            <w:right w:val="none" w:sz="0" w:space="0" w:color="auto"/>
          </w:divBdr>
        </w:div>
      </w:divsChild>
    </w:div>
    <w:div w:id="1110469091">
      <w:bodyDiv w:val="1"/>
      <w:marLeft w:val="0"/>
      <w:marRight w:val="0"/>
      <w:marTop w:val="0"/>
      <w:marBottom w:val="0"/>
      <w:divBdr>
        <w:top w:val="none" w:sz="0" w:space="0" w:color="auto"/>
        <w:left w:val="none" w:sz="0" w:space="0" w:color="auto"/>
        <w:bottom w:val="none" w:sz="0" w:space="0" w:color="auto"/>
        <w:right w:val="none" w:sz="0" w:space="0" w:color="auto"/>
      </w:divBdr>
      <w:divsChild>
        <w:div w:id="2118212733">
          <w:marLeft w:val="0"/>
          <w:marRight w:val="0"/>
          <w:marTop w:val="0"/>
          <w:marBottom w:val="0"/>
          <w:divBdr>
            <w:top w:val="none" w:sz="0" w:space="0" w:color="auto"/>
            <w:left w:val="none" w:sz="0" w:space="0" w:color="auto"/>
            <w:bottom w:val="none" w:sz="0" w:space="0" w:color="auto"/>
            <w:right w:val="none" w:sz="0" w:space="0" w:color="auto"/>
          </w:divBdr>
        </w:div>
      </w:divsChild>
    </w:div>
    <w:div w:id="1156261971">
      <w:bodyDiv w:val="1"/>
      <w:marLeft w:val="0"/>
      <w:marRight w:val="0"/>
      <w:marTop w:val="0"/>
      <w:marBottom w:val="0"/>
      <w:divBdr>
        <w:top w:val="none" w:sz="0" w:space="0" w:color="auto"/>
        <w:left w:val="none" w:sz="0" w:space="0" w:color="auto"/>
        <w:bottom w:val="none" w:sz="0" w:space="0" w:color="auto"/>
        <w:right w:val="none" w:sz="0" w:space="0" w:color="auto"/>
      </w:divBdr>
      <w:divsChild>
        <w:div w:id="564145620">
          <w:marLeft w:val="0"/>
          <w:marRight w:val="0"/>
          <w:marTop w:val="0"/>
          <w:marBottom w:val="0"/>
          <w:divBdr>
            <w:top w:val="none" w:sz="0" w:space="0" w:color="auto"/>
            <w:left w:val="none" w:sz="0" w:space="0" w:color="auto"/>
            <w:bottom w:val="none" w:sz="0" w:space="0" w:color="auto"/>
            <w:right w:val="none" w:sz="0" w:space="0" w:color="auto"/>
          </w:divBdr>
        </w:div>
      </w:divsChild>
    </w:div>
    <w:div w:id="1589971044">
      <w:bodyDiv w:val="1"/>
      <w:marLeft w:val="0"/>
      <w:marRight w:val="0"/>
      <w:marTop w:val="0"/>
      <w:marBottom w:val="0"/>
      <w:divBdr>
        <w:top w:val="none" w:sz="0" w:space="0" w:color="auto"/>
        <w:left w:val="none" w:sz="0" w:space="0" w:color="auto"/>
        <w:bottom w:val="none" w:sz="0" w:space="0" w:color="auto"/>
        <w:right w:val="none" w:sz="0" w:space="0" w:color="auto"/>
      </w:divBdr>
      <w:divsChild>
        <w:div w:id="260646036">
          <w:marLeft w:val="0"/>
          <w:marRight w:val="0"/>
          <w:marTop w:val="0"/>
          <w:marBottom w:val="0"/>
          <w:divBdr>
            <w:top w:val="none" w:sz="0" w:space="0" w:color="auto"/>
            <w:left w:val="none" w:sz="0" w:space="0" w:color="auto"/>
            <w:bottom w:val="none" w:sz="0" w:space="0" w:color="auto"/>
            <w:right w:val="none" w:sz="0" w:space="0" w:color="auto"/>
          </w:divBdr>
        </w:div>
      </w:divsChild>
    </w:div>
    <w:div w:id="1981156893">
      <w:bodyDiv w:val="1"/>
      <w:marLeft w:val="0"/>
      <w:marRight w:val="0"/>
      <w:marTop w:val="0"/>
      <w:marBottom w:val="0"/>
      <w:divBdr>
        <w:top w:val="none" w:sz="0" w:space="0" w:color="auto"/>
        <w:left w:val="none" w:sz="0" w:space="0" w:color="auto"/>
        <w:bottom w:val="none" w:sz="0" w:space="0" w:color="auto"/>
        <w:right w:val="none" w:sz="0" w:space="0" w:color="auto"/>
      </w:divBdr>
      <w:divsChild>
        <w:div w:id="438648606">
          <w:marLeft w:val="0"/>
          <w:marRight w:val="0"/>
          <w:marTop w:val="0"/>
          <w:marBottom w:val="0"/>
          <w:divBdr>
            <w:top w:val="none" w:sz="0" w:space="0" w:color="auto"/>
            <w:left w:val="none" w:sz="0" w:space="0" w:color="auto"/>
            <w:bottom w:val="none" w:sz="0" w:space="0" w:color="auto"/>
            <w:right w:val="none" w:sz="0" w:space="0" w:color="auto"/>
          </w:divBdr>
        </w:div>
      </w:divsChild>
    </w:div>
    <w:div w:id="2107263988">
      <w:bodyDiv w:val="1"/>
      <w:marLeft w:val="0"/>
      <w:marRight w:val="0"/>
      <w:marTop w:val="0"/>
      <w:marBottom w:val="0"/>
      <w:divBdr>
        <w:top w:val="none" w:sz="0" w:space="0" w:color="auto"/>
        <w:left w:val="none" w:sz="0" w:space="0" w:color="auto"/>
        <w:bottom w:val="none" w:sz="0" w:space="0" w:color="auto"/>
        <w:right w:val="none" w:sz="0" w:space="0" w:color="auto"/>
      </w:divBdr>
      <w:divsChild>
        <w:div w:id="1573199811">
          <w:marLeft w:val="0"/>
          <w:marRight w:val="0"/>
          <w:marTop w:val="0"/>
          <w:marBottom w:val="0"/>
          <w:divBdr>
            <w:top w:val="none" w:sz="0" w:space="0" w:color="auto"/>
            <w:left w:val="none" w:sz="0" w:space="0" w:color="auto"/>
            <w:bottom w:val="none" w:sz="0" w:space="0" w:color="auto"/>
            <w:right w:val="none" w:sz="0" w:space="0" w:color="auto"/>
          </w:divBdr>
        </w:div>
      </w:divsChild>
    </w:div>
    <w:div w:id="2132747126">
      <w:bodyDiv w:val="1"/>
      <w:marLeft w:val="0"/>
      <w:marRight w:val="0"/>
      <w:marTop w:val="0"/>
      <w:marBottom w:val="0"/>
      <w:divBdr>
        <w:top w:val="none" w:sz="0" w:space="0" w:color="auto"/>
        <w:left w:val="none" w:sz="0" w:space="0" w:color="auto"/>
        <w:bottom w:val="none" w:sz="0" w:space="0" w:color="auto"/>
        <w:right w:val="none" w:sz="0" w:space="0" w:color="auto"/>
      </w:divBdr>
      <w:divsChild>
        <w:div w:id="92465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Company>NCGA</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2023-01-24T18:21:00Z</dcterms:created>
  <dcterms:modified xsi:type="dcterms:W3CDTF">2023-01-24T18:21:00Z</dcterms:modified>
</cp:coreProperties>
</file>